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C2054" w:rsidRPr="00B753E5" w:rsidRDefault="004C2054" w:rsidP="00B753E5">
      <w:pPr>
        <w:spacing w:line="480" w:lineRule="auto"/>
        <w:rPr>
          <w:rFonts w:ascii="Times New Roman" w:hAnsi="Times New Roman" w:cs="Times New Roman"/>
          <w:sz w:val="24"/>
          <w:szCs w:val="24"/>
        </w:rPr>
      </w:pPr>
    </w:p>
    <w:p w:rsidR="00C57CB3" w:rsidRPr="00B753E5" w:rsidRDefault="00C57CB3" w:rsidP="00B753E5">
      <w:pPr>
        <w:spacing w:line="480" w:lineRule="auto"/>
        <w:rPr>
          <w:rFonts w:ascii="Times New Roman" w:hAnsi="Times New Roman" w:cs="Times New Roman"/>
          <w:sz w:val="24"/>
          <w:szCs w:val="24"/>
        </w:rPr>
      </w:pPr>
      <w:r w:rsidRPr="00B753E5">
        <w:rPr>
          <w:rFonts w:ascii="Times New Roman" w:hAnsi="Times New Roman" w:cs="Times New Roman"/>
          <w:sz w:val="24"/>
          <w:szCs w:val="24"/>
        </w:rPr>
        <w:t>Name.</w:t>
      </w:r>
    </w:p>
    <w:p w:rsidR="00C57CB3" w:rsidRPr="00B753E5" w:rsidRDefault="00C57CB3" w:rsidP="00B753E5">
      <w:pPr>
        <w:spacing w:line="480" w:lineRule="auto"/>
        <w:rPr>
          <w:rFonts w:ascii="Times New Roman" w:hAnsi="Times New Roman" w:cs="Times New Roman"/>
          <w:sz w:val="24"/>
          <w:szCs w:val="24"/>
        </w:rPr>
      </w:pPr>
      <w:r w:rsidRPr="00B753E5">
        <w:rPr>
          <w:rFonts w:ascii="Times New Roman" w:hAnsi="Times New Roman" w:cs="Times New Roman"/>
          <w:sz w:val="24"/>
          <w:szCs w:val="24"/>
        </w:rPr>
        <w:t>Tutor.</w:t>
      </w:r>
    </w:p>
    <w:p w:rsidR="00C57CB3" w:rsidRPr="00B753E5" w:rsidRDefault="00C57CB3" w:rsidP="00B753E5">
      <w:pPr>
        <w:spacing w:line="480" w:lineRule="auto"/>
        <w:rPr>
          <w:rFonts w:ascii="Times New Roman" w:hAnsi="Times New Roman" w:cs="Times New Roman"/>
          <w:sz w:val="24"/>
          <w:szCs w:val="24"/>
        </w:rPr>
      </w:pPr>
      <w:r w:rsidRPr="00B753E5">
        <w:rPr>
          <w:rFonts w:ascii="Times New Roman" w:hAnsi="Times New Roman" w:cs="Times New Roman"/>
          <w:sz w:val="24"/>
          <w:szCs w:val="24"/>
        </w:rPr>
        <w:t>Course.</w:t>
      </w:r>
    </w:p>
    <w:p w:rsidR="00C57CB3" w:rsidRPr="00B753E5" w:rsidRDefault="00C57CB3" w:rsidP="00B753E5">
      <w:pPr>
        <w:spacing w:line="480" w:lineRule="auto"/>
        <w:rPr>
          <w:rFonts w:ascii="Times New Roman" w:hAnsi="Times New Roman" w:cs="Times New Roman"/>
          <w:sz w:val="24"/>
          <w:szCs w:val="24"/>
        </w:rPr>
      </w:pPr>
      <w:r w:rsidRPr="00B753E5">
        <w:rPr>
          <w:rFonts w:ascii="Times New Roman" w:hAnsi="Times New Roman" w:cs="Times New Roman"/>
          <w:sz w:val="24"/>
          <w:szCs w:val="24"/>
        </w:rPr>
        <w:t>Date.</w:t>
      </w:r>
    </w:p>
    <w:p w:rsidR="00C57CB3" w:rsidRPr="00B753E5" w:rsidRDefault="00C57CB3" w:rsidP="00B753E5">
      <w:pPr>
        <w:spacing w:line="480" w:lineRule="auto"/>
        <w:jc w:val="center"/>
        <w:rPr>
          <w:rFonts w:ascii="Times New Roman" w:hAnsi="Times New Roman" w:cs="Times New Roman"/>
          <w:sz w:val="24"/>
          <w:szCs w:val="24"/>
        </w:rPr>
      </w:pPr>
      <w:r w:rsidRPr="00B753E5">
        <w:rPr>
          <w:rFonts w:ascii="Times New Roman" w:hAnsi="Times New Roman" w:cs="Times New Roman"/>
          <w:sz w:val="24"/>
          <w:szCs w:val="24"/>
        </w:rPr>
        <w:t>Stakeholders in Child Labour.</w:t>
      </w:r>
    </w:p>
    <w:p w:rsidR="00B753E5" w:rsidRPr="00B753E5" w:rsidRDefault="00B753E5" w:rsidP="00B753E5">
      <w:pPr>
        <w:spacing w:line="480" w:lineRule="auto"/>
        <w:ind w:firstLine="720"/>
        <w:rPr>
          <w:rFonts w:ascii="Times New Roman" w:hAnsi="Times New Roman" w:cs="Times New Roman"/>
          <w:sz w:val="24"/>
          <w:szCs w:val="24"/>
        </w:rPr>
      </w:pPr>
      <w:r w:rsidRPr="00B753E5">
        <w:rPr>
          <w:rFonts w:ascii="Times New Roman" w:hAnsi="Times New Roman" w:cs="Times New Roman"/>
          <w:sz w:val="24"/>
          <w:szCs w:val="24"/>
        </w:rPr>
        <w:t xml:space="preserve">The International Labour Organization defines child labour as any work that alienates children from enjoyment of their childhood, alienates them from their potential, dignity and inhibits proper physical, psychological,  mental and social development. The ILO also links all work activities that interfere with the schooling of children, obliges them to leave school or even requires them to combine school with long working hours as child labour. The onset of child labour can be traced from the Industrial Revolution in Britain. This was in the 18th century, and development of industries prompted families to force their children to work in them to contribute to the development of the societies (Basu et al. 1100). In the 19th century, cases of child labour started to decline especially in the industrialized societies where labour unions required people of specific age say 18 years to work in industries. In the 20th century, cases of child labour were reported in the USA as underage children worked for long hours without pay in Glassmaking. Child labour is also common in the dynamic society in almost all parts of the globe, and there is an assertion that it accounts for  32% of the workforce in Africa, 22 % in Asia and, 1% in the USA and Europe(Fallo et al. 76).Various arguments of contention arise from the topic of child labour with the assertion that it exposes underage children to difficult working conditions, </w:t>
      </w:r>
      <w:r w:rsidRPr="00B753E5">
        <w:rPr>
          <w:rFonts w:ascii="Times New Roman" w:hAnsi="Times New Roman" w:cs="Times New Roman"/>
          <w:sz w:val="24"/>
          <w:szCs w:val="24"/>
        </w:rPr>
        <w:lastRenderedPageBreak/>
        <w:t>injuries, leads to competition in the job market and also denies children their right to education. There are some people who support child labour with the argument that children can get finances for supporting families and that children are not always exploited. The four stakeholders in child labour are parents, the government, academic experts,  civil societies and international organizations.</w:t>
      </w:r>
    </w:p>
    <w:p w:rsidR="00B753E5" w:rsidRPr="00B753E5" w:rsidRDefault="00B753E5" w:rsidP="00B753E5">
      <w:pPr>
        <w:spacing w:line="480" w:lineRule="auto"/>
        <w:ind w:firstLine="720"/>
        <w:rPr>
          <w:rFonts w:ascii="Times New Roman" w:hAnsi="Times New Roman" w:cs="Times New Roman"/>
          <w:sz w:val="24"/>
          <w:szCs w:val="24"/>
        </w:rPr>
      </w:pPr>
      <w:r w:rsidRPr="00B753E5">
        <w:rPr>
          <w:rFonts w:ascii="Times New Roman" w:hAnsi="Times New Roman" w:cs="Times New Roman"/>
          <w:sz w:val="24"/>
          <w:szCs w:val="24"/>
        </w:rPr>
        <w:t xml:space="preserve">Parents are the primary stakeholders in child labour. When not in school, children associate significantly with their parents; the fathers and mothers. In the case whereby the parents are absent, then children associate with their guardians or caregivers at the family level. Some parents hold the assertion that child labour is an inhibitive aspect which limits their children from growing socially, mentally, physically and psychologically and due to this, they tend to alienate their children from tough work or working for long hours. Some parents especially in the developed countries are aware that child labour is motivated by factors such as poverty, low level of parental education and absence of schools (Grootaert 187). In other words, parents are aware that family characteristics significantly contribute to child labour. In order to avert children from child labour, some parents strive to seek employment opportunities, accord their children learning opportunities and also give them the necessities such as food, shelter, and clothing. On the other hand, some parents especially those in the less developing countries argue that child labour is part of their lifestyle since it trains children to be hardworking and to be productive. In some cases, parents use their own examples and argue that " we worked when growing up and hence, we should inculcate the same lifestyle to our children"(Grootaert 186). The basic argument is that there is a need to alienate children from financial anxiety and make them productive to support their families and eradicate poverty.  In the journal titled Child </w:t>
      </w:r>
      <w:r w:rsidRPr="00B753E5">
        <w:rPr>
          <w:rFonts w:ascii="Times New Roman" w:hAnsi="Times New Roman" w:cs="Times New Roman"/>
          <w:sz w:val="24"/>
          <w:szCs w:val="24"/>
        </w:rPr>
        <w:lastRenderedPageBreak/>
        <w:t>labour: an economic perspective, Grootaert says that "some parents, especially in the less developed societies, use child labour in improving their economic lifestyles" (Grootaert 187).</w:t>
      </w:r>
    </w:p>
    <w:p w:rsidR="00B753E5" w:rsidRPr="00B753E5" w:rsidRDefault="00B753E5" w:rsidP="00B753E5">
      <w:pPr>
        <w:spacing w:line="480" w:lineRule="auto"/>
        <w:ind w:firstLine="720"/>
        <w:rPr>
          <w:rFonts w:ascii="Times New Roman" w:hAnsi="Times New Roman" w:cs="Times New Roman"/>
          <w:sz w:val="24"/>
          <w:szCs w:val="24"/>
        </w:rPr>
      </w:pPr>
      <w:r w:rsidRPr="00B753E5">
        <w:rPr>
          <w:rFonts w:ascii="Times New Roman" w:hAnsi="Times New Roman" w:cs="Times New Roman"/>
          <w:sz w:val="24"/>
          <w:szCs w:val="24"/>
        </w:rPr>
        <w:t>Academic experts from the second group of stakeholders in child labour. These experts are inclusive of teachers and  researchers. In addition, the academic experts can be defined as people with professionals as well as academic expertise in the rights of children. The experts usually have credible arguments concerning the causes of child labour and the implications of exposing children to activities associated with child labour. The teachers usually interact with learners and children in a great deal, and hence, they can examine the causes of child labour</w:t>
      </w:r>
      <w:r w:rsidRPr="00B753E5">
        <w:rPr>
          <w:rFonts w:ascii="Times New Roman" w:hAnsi="Times New Roman" w:cs="Times New Roman"/>
          <w:color w:val="222222"/>
          <w:sz w:val="24"/>
          <w:szCs w:val="24"/>
          <w:shd w:val="clear" w:color="auto" w:fill="FFFFFF"/>
        </w:rPr>
        <w:t xml:space="preserve"> (Ravallion et al. 160)</w:t>
      </w:r>
      <w:r w:rsidRPr="00B753E5">
        <w:rPr>
          <w:rFonts w:ascii="Times New Roman" w:hAnsi="Times New Roman" w:cs="Times New Roman"/>
          <w:sz w:val="24"/>
          <w:szCs w:val="24"/>
        </w:rPr>
        <w:t xml:space="preserve"> .In most cases, teachers assert that lack of parents, poverty, lack of concern by parents and broken marriages are the leading causes of child labour. Critics such as; Fallon, Peter, and Zafiris in the book titled Child labour state that "the teacher to student ratio in most schools is unfavorable and hence, teachers are not in a position to guide children on how to live in inhibitive societies" (Fallo et al. 13).In addition, there is evidence that children who are exposed to child labour depict truancy or absenteeism and may be absent-minded when in school and this inhibits their overall performance. At the extreme, such children are very likely to drop out of school. Academic researchers also identify the same cause of child labour as well as repercussions.</w:t>
      </w:r>
    </w:p>
    <w:p w:rsidR="00B753E5" w:rsidRPr="00B753E5" w:rsidRDefault="00B753E5" w:rsidP="00B753E5">
      <w:pPr>
        <w:spacing w:line="480" w:lineRule="auto"/>
        <w:ind w:firstLine="720"/>
        <w:rPr>
          <w:rFonts w:ascii="Times New Roman" w:hAnsi="Times New Roman" w:cs="Times New Roman"/>
          <w:sz w:val="24"/>
          <w:szCs w:val="24"/>
        </w:rPr>
      </w:pPr>
      <w:r w:rsidRPr="00B753E5">
        <w:rPr>
          <w:rFonts w:ascii="Times New Roman" w:hAnsi="Times New Roman" w:cs="Times New Roman"/>
          <w:sz w:val="24"/>
          <w:szCs w:val="24"/>
        </w:rPr>
        <w:t xml:space="preserve">The government is also a very crucial stakeholder in child labour. The government is divided into different agencies which are inclusive of the national, and the local committees for children, the ministry of education, children's commissioners, the human rights commissions and all these strive in assuring that the rights of children are not infringed. The government asserts that ‘child labour exposes children to violence, exploitation as well as abuse and hence, it should be banned per se" (Basu et al. 424). Also, the government is responsible for taking a count of the </w:t>
      </w:r>
      <w:r w:rsidRPr="00B753E5">
        <w:rPr>
          <w:rFonts w:ascii="Times New Roman" w:hAnsi="Times New Roman" w:cs="Times New Roman"/>
          <w:sz w:val="24"/>
          <w:szCs w:val="24"/>
        </w:rPr>
        <w:lastRenderedPageBreak/>
        <w:t>number of children in a given country who are exposed to child labour and also evaluates the repercussions associated with the same vice. After evaluation of causes and repercussions, the government and its supporters make recommendations on how to alienate children from child labour.</w:t>
      </w:r>
    </w:p>
    <w:p w:rsidR="00B753E5" w:rsidRPr="00B753E5" w:rsidRDefault="00B753E5" w:rsidP="00B753E5">
      <w:pPr>
        <w:spacing w:line="480" w:lineRule="auto"/>
        <w:ind w:firstLine="720"/>
        <w:rPr>
          <w:rFonts w:ascii="Times New Roman" w:hAnsi="Times New Roman" w:cs="Times New Roman"/>
          <w:sz w:val="24"/>
          <w:szCs w:val="24"/>
        </w:rPr>
      </w:pPr>
      <w:r w:rsidRPr="00B753E5">
        <w:rPr>
          <w:rFonts w:ascii="Times New Roman" w:hAnsi="Times New Roman" w:cs="Times New Roman"/>
          <w:sz w:val="24"/>
          <w:szCs w:val="24"/>
        </w:rPr>
        <w:t>The civil society and international organizations such as NGO's, multinational organizations, UNICEF, and others which have direct interest in the activities and daily operations of children are also stakeholders in child labour. The civic societies and the international organizations mainly focus on the utilization of resources by all community members and the welfare of all people. The UNICEF, for example, offers humanitarian assistance to children and seeks to alienate them from oppression. Such organizations assert that child labour is detrimental to the growth and development of children (Basu et al. 426). Also, they contend that child labour does not end poverty but increases it hence leading to slow or poor development in countries.</w:t>
      </w:r>
    </w:p>
    <w:p w:rsidR="00B753E5" w:rsidRPr="00B753E5" w:rsidRDefault="00B753E5" w:rsidP="00B753E5">
      <w:pPr>
        <w:spacing w:line="480" w:lineRule="auto"/>
        <w:ind w:firstLine="720"/>
        <w:rPr>
          <w:rFonts w:ascii="Times New Roman" w:hAnsi="Times New Roman" w:cs="Times New Roman"/>
          <w:sz w:val="24"/>
          <w:szCs w:val="24"/>
        </w:rPr>
      </w:pPr>
      <w:r w:rsidRPr="00B753E5">
        <w:rPr>
          <w:rFonts w:ascii="Times New Roman" w:hAnsi="Times New Roman" w:cs="Times New Roman"/>
          <w:sz w:val="24"/>
          <w:szCs w:val="24"/>
        </w:rPr>
        <w:t>As evident from the four stakeholders; the parents, academic experts, the government, international organizations and civic societies, child labour infringes on the rights of children and prevents them from achieving the desired social, psychological, physical and mental growth. The four groups also content that child labour limits the chances of children to receive education opportunities. Also, there is a consensus from stakeholders such as the international organizations, academicians, and the government that child labour increases poverty and leads to sow economic growth. This topic is however not  very simple to evaluate as there are some parents who hold the view that child labour is developmental as children are trained on efficient tasks which aid them during adulthood (Fallo et al. 15)</w:t>
      </w:r>
    </w:p>
    <w:p w:rsidR="00B753E5" w:rsidRPr="00B753E5" w:rsidRDefault="00B753E5" w:rsidP="00B753E5">
      <w:pPr>
        <w:spacing w:line="480" w:lineRule="auto"/>
        <w:ind w:firstLine="720"/>
        <w:rPr>
          <w:rFonts w:ascii="Times New Roman" w:hAnsi="Times New Roman" w:cs="Times New Roman"/>
          <w:sz w:val="24"/>
          <w:szCs w:val="24"/>
        </w:rPr>
      </w:pPr>
      <w:r w:rsidRPr="00B753E5">
        <w:rPr>
          <w:rFonts w:ascii="Times New Roman" w:hAnsi="Times New Roman" w:cs="Times New Roman"/>
          <w:sz w:val="24"/>
          <w:szCs w:val="24"/>
        </w:rPr>
        <w:lastRenderedPageBreak/>
        <w:t>In summing up, it is evident that majority of stakeholders discourage the community from exposing children to child labour due to its adverse implications. When children are exposed to child labour consciously or unconsciously, then they are denied the opportunity of enjoying their childhood, and this is detrimental to their growth and development. In the scholarly aspect, child labour takes away the right of children to education. Therefore, there is need for all stakeholders to be engaged in solving the cases of child labour .Through cooperation, the stakeholders will be able to provide their views concerning child labour, educate all people on the importance of children's rights and provide insights on how the community can prevent child labour. Consultation, monitoring, collaboration, and engagement are the basic aspects which should be sought by all stakeholders in ending child labour and protecting the rights of children.</w:t>
      </w:r>
    </w:p>
    <w:p w:rsidR="00B753E5" w:rsidRPr="00B753E5" w:rsidRDefault="00B753E5" w:rsidP="00B753E5">
      <w:pPr>
        <w:spacing w:line="480" w:lineRule="auto"/>
        <w:ind w:firstLine="720"/>
        <w:rPr>
          <w:rFonts w:ascii="Times New Roman" w:hAnsi="Times New Roman" w:cs="Times New Roman"/>
          <w:sz w:val="24"/>
          <w:szCs w:val="24"/>
        </w:rPr>
      </w:pPr>
    </w:p>
    <w:p w:rsidR="00B753E5" w:rsidRPr="00B753E5" w:rsidRDefault="00B753E5" w:rsidP="00B753E5">
      <w:pPr>
        <w:spacing w:line="480" w:lineRule="auto"/>
        <w:ind w:firstLine="720"/>
        <w:rPr>
          <w:rFonts w:ascii="Times New Roman" w:hAnsi="Times New Roman" w:cs="Times New Roman"/>
          <w:sz w:val="24"/>
          <w:szCs w:val="24"/>
        </w:rPr>
      </w:pPr>
    </w:p>
    <w:p w:rsidR="00B753E5" w:rsidRPr="00B753E5" w:rsidRDefault="00B753E5" w:rsidP="00B753E5">
      <w:pPr>
        <w:spacing w:line="480" w:lineRule="auto"/>
        <w:ind w:firstLine="720"/>
        <w:rPr>
          <w:rFonts w:ascii="Times New Roman" w:hAnsi="Times New Roman" w:cs="Times New Roman"/>
          <w:sz w:val="24"/>
          <w:szCs w:val="24"/>
        </w:rPr>
      </w:pPr>
    </w:p>
    <w:p w:rsidR="00B753E5" w:rsidRPr="00B753E5" w:rsidRDefault="00B753E5" w:rsidP="00B753E5">
      <w:pPr>
        <w:spacing w:line="480" w:lineRule="auto"/>
        <w:ind w:firstLine="720"/>
        <w:rPr>
          <w:rFonts w:ascii="Times New Roman" w:hAnsi="Times New Roman" w:cs="Times New Roman"/>
          <w:sz w:val="24"/>
          <w:szCs w:val="24"/>
        </w:rPr>
      </w:pPr>
    </w:p>
    <w:p w:rsidR="00B753E5" w:rsidRPr="00B753E5" w:rsidRDefault="00B753E5" w:rsidP="00B753E5">
      <w:pPr>
        <w:spacing w:line="480" w:lineRule="auto"/>
        <w:ind w:firstLine="720"/>
        <w:rPr>
          <w:rFonts w:ascii="Times New Roman" w:hAnsi="Times New Roman" w:cs="Times New Roman"/>
          <w:sz w:val="24"/>
          <w:szCs w:val="24"/>
        </w:rPr>
      </w:pPr>
    </w:p>
    <w:p w:rsidR="00B753E5" w:rsidRPr="00B753E5" w:rsidRDefault="00B753E5" w:rsidP="00B753E5">
      <w:pPr>
        <w:spacing w:line="480" w:lineRule="auto"/>
        <w:ind w:firstLine="720"/>
        <w:rPr>
          <w:rFonts w:ascii="Times New Roman" w:hAnsi="Times New Roman" w:cs="Times New Roman"/>
          <w:sz w:val="24"/>
          <w:szCs w:val="24"/>
        </w:rPr>
      </w:pPr>
    </w:p>
    <w:p w:rsidR="00B753E5" w:rsidRPr="00B753E5" w:rsidRDefault="00B753E5" w:rsidP="00B753E5">
      <w:pPr>
        <w:spacing w:line="480" w:lineRule="auto"/>
        <w:ind w:firstLine="720"/>
        <w:rPr>
          <w:rFonts w:ascii="Times New Roman" w:hAnsi="Times New Roman" w:cs="Times New Roman"/>
          <w:sz w:val="24"/>
          <w:szCs w:val="24"/>
        </w:rPr>
      </w:pPr>
    </w:p>
    <w:p w:rsidR="00B753E5" w:rsidRDefault="00B753E5" w:rsidP="00B753E5">
      <w:pPr>
        <w:spacing w:line="480" w:lineRule="auto"/>
        <w:rPr>
          <w:rFonts w:ascii="Times New Roman" w:hAnsi="Times New Roman" w:cs="Times New Roman"/>
          <w:sz w:val="24"/>
          <w:szCs w:val="24"/>
        </w:rPr>
      </w:pPr>
    </w:p>
    <w:p w:rsidR="00B753E5" w:rsidRDefault="00B753E5" w:rsidP="00B753E5">
      <w:pPr>
        <w:spacing w:line="480" w:lineRule="auto"/>
        <w:rPr>
          <w:rFonts w:ascii="Times New Roman" w:hAnsi="Times New Roman" w:cs="Times New Roman"/>
          <w:sz w:val="24"/>
          <w:szCs w:val="24"/>
        </w:rPr>
      </w:pPr>
    </w:p>
    <w:p w:rsidR="00B753E5" w:rsidRPr="00B753E5" w:rsidRDefault="00B753E5" w:rsidP="00B753E5">
      <w:pPr>
        <w:spacing w:line="480" w:lineRule="auto"/>
        <w:rPr>
          <w:rFonts w:ascii="Times New Roman" w:hAnsi="Times New Roman" w:cs="Times New Roman"/>
          <w:sz w:val="24"/>
          <w:szCs w:val="24"/>
        </w:rPr>
      </w:pPr>
    </w:p>
    <w:p w:rsidR="00B753E5" w:rsidRPr="00B753E5" w:rsidRDefault="00B753E5" w:rsidP="00B753E5">
      <w:pPr>
        <w:spacing w:line="480" w:lineRule="auto"/>
        <w:ind w:firstLine="720"/>
        <w:jc w:val="center"/>
        <w:rPr>
          <w:rFonts w:ascii="Times New Roman" w:hAnsi="Times New Roman" w:cs="Times New Roman"/>
          <w:sz w:val="24"/>
          <w:szCs w:val="24"/>
        </w:rPr>
      </w:pPr>
      <w:r w:rsidRPr="00B753E5">
        <w:rPr>
          <w:rFonts w:ascii="Times New Roman" w:hAnsi="Times New Roman" w:cs="Times New Roman"/>
          <w:sz w:val="24"/>
          <w:szCs w:val="24"/>
        </w:rPr>
        <w:lastRenderedPageBreak/>
        <w:t>Works cited.</w:t>
      </w:r>
    </w:p>
    <w:p w:rsidR="00F3022C" w:rsidRPr="00B753E5" w:rsidRDefault="00F3022C" w:rsidP="00B753E5">
      <w:pPr>
        <w:spacing w:line="480" w:lineRule="auto"/>
        <w:ind w:left="720" w:hanging="720"/>
        <w:rPr>
          <w:rFonts w:ascii="Times New Roman" w:hAnsi="Times New Roman" w:cs="Times New Roman"/>
          <w:color w:val="222222"/>
          <w:sz w:val="24"/>
          <w:szCs w:val="24"/>
          <w:shd w:val="clear" w:color="auto" w:fill="FFFFFF"/>
        </w:rPr>
      </w:pPr>
      <w:r w:rsidRPr="00B753E5">
        <w:rPr>
          <w:rFonts w:ascii="Times New Roman" w:hAnsi="Times New Roman" w:cs="Times New Roman"/>
          <w:color w:val="222222"/>
          <w:sz w:val="24"/>
          <w:szCs w:val="24"/>
          <w:shd w:val="clear" w:color="auto" w:fill="FFFFFF"/>
        </w:rPr>
        <w:t>Basu, Kaushik, and Pham Hoang Van. "The economics of child labor." </w:t>
      </w:r>
      <w:r w:rsidRPr="00B753E5">
        <w:rPr>
          <w:rFonts w:ascii="Times New Roman" w:hAnsi="Times New Roman" w:cs="Times New Roman"/>
          <w:i/>
          <w:iCs/>
          <w:color w:val="222222"/>
          <w:sz w:val="24"/>
          <w:szCs w:val="24"/>
          <w:shd w:val="clear" w:color="auto" w:fill="FFFFFF"/>
        </w:rPr>
        <w:t>American economic review</w:t>
      </w:r>
      <w:r w:rsidRPr="00B753E5">
        <w:rPr>
          <w:rFonts w:ascii="Times New Roman" w:hAnsi="Times New Roman" w:cs="Times New Roman"/>
          <w:color w:val="222222"/>
          <w:sz w:val="24"/>
          <w:szCs w:val="24"/>
          <w:shd w:val="clear" w:color="auto" w:fill="FFFFFF"/>
        </w:rPr>
        <w:t> (2015): 412-427.</w:t>
      </w:r>
    </w:p>
    <w:p w:rsidR="00B753E5" w:rsidRPr="00B753E5" w:rsidRDefault="00B753E5" w:rsidP="00B753E5">
      <w:pPr>
        <w:spacing w:line="480" w:lineRule="auto"/>
        <w:ind w:left="720" w:hanging="720"/>
        <w:rPr>
          <w:rFonts w:ascii="Times New Roman" w:hAnsi="Times New Roman" w:cs="Times New Roman"/>
          <w:sz w:val="24"/>
          <w:szCs w:val="24"/>
        </w:rPr>
      </w:pPr>
      <w:r w:rsidRPr="00B753E5">
        <w:rPr>
          <w:rFonts w:ascii="Times New Roman" w:hAnsi="Times New Roman" w:cs="Times New Roman"/>
          <w:color w:val="222222"/>
          <w:sz w:val="24"/>
          <w:szCs w:val="24"/>
          <w:shd w:val="clear" w:color="auto" w:fill="FFFFFF"/>
        </w:rPr>
        <w:t>Basu, Kaushik. "Child labor: cause, consequence, and cure, with remarks on international labor standards." </w:t>
      </w:r>
      <w:r w:rsidRPr="00B753E5">
        <w:rPr>
          <w:rFonts w:ascii="Times New Roman" w:hAnsi="Times New Roman" w:cs="Times New Roman"/>
          <w:i/>
          <w:iCs/>
          <w:color w:val="222222"/>
          <w:sz w:val="24"/>
          <w:szCs w:val="24"/>
          <w:shd w:val="clear" w:color="auto" w:fill="FFFFFF"/>
        </w:rPr>
        <w:t>Journal of Economic literature</w:t>
      </w:r>
      <w:r w:rsidRPr="00B753E5">
        <w:rPr>
          <w:rFonts w:ascii="Times New Roman" w:hAnsi="Times New Roman" w:cs="Times New Roman"/>
          <w:color w:val="222222"/>
          <w:sz w:val="24"/>
          <w:szCs w:val="24"/>
          <w:shd w:val="clear" w:color="auto" w:fill="FFFFFF"/>
        </w:rPr>
        <w:t> 37.3 (2015): 1083-1119.</w:t>
      </w:r>
    </w:p>
    <w:p w:rsidR="004A54D2" w:rsidRPr="00B753E5" w:rsidRDefault="004A54D2" w:rsidP="00B753E5">
      <w:pPr>
        <w:spacing w:line="480" w:lineRule="auto"/>
        <w:ind w:left="720" w:hanging="720"/>
        <w:rPr>
          <w:rFonts w:ascii="Times New Roman" w:hAnsi="Times New Roman" w:cs="Times New Roman"/>
          <w:sz w:val="24"/>
          <w:szCs w:val="24"/>
        </w:rPr>
      </w:pPr>
      <w:r w:rsidRPr="00B753E5">
        <w:rPr>
          <w:rFonts w:ascii="Times New Roman" w:hAnsi="Times New Roman" w:cs="Times New Roman"/>
          <w:color w:val="222222"/>
          <w:sz w:val="24"/>
          <w:szCs w:val="24"/>
          <w:shd w:val="clear" w:color="auto" w:fill="FFFFFF"/>
        </w:rPr>
        <w:t>Fallon, Peter, and Zafiris Tzannatos. </w:t>
      </w:r>
      <w:r w:rsidRPr="00B753E5">
        <w:rPr>
          <w:rFonts w:ascii="Times New Roman" w:hAnsi="Times New Roman" w:cs="Times New Roman"/>
          <w:i/>
          <w:iCs/>
          <w:color w:val="222222"/>
          <w:sz w:val="24"/>
          <w:szCs w:val="24"/>
          <w:shd w:val="clear" w:color="auto" w:fill="FFFFFF"/>
        </w:rPr>
        <w:t>Child Labor</w:t>
      </w:r>
      <w:r w:rsidRPr="00B753E5">
        <w:rPr>
          <w:rFonts w:ascii="Times New Roman" w:hAnsi="Times New Roman" w:cs="Times New Roman"/>
          <w:color w:val="222222"/>
          <w:sz w:val="24"/>
          <w:szCs w:val="24"/>
          <w:shd w:val="clear" w:color="auto" w:fill="FFFFFF"/>
        </w:rPr>
        <w:t>. World Bank, 2016.</w:t>
      </w:r>
    </w:p>
    <w:p w:rsidR="00FA0DCD" w:rsidRPr="00B753E5" w:rsidRDefault="00FA0DCD" w:rsidP="00B753E5">
      <w:pPr>
        <w:spacing w:line="480" w:lineRule="auto"/>
        <w:ind w:left="720" w:hanging="720"/>
        <w:rPr>
          <w:rFonts w:ascii="Times New Roman" w:hAnsi="Times New Roman" w:cs="Times New Roman"/>
          <w:color w:val="222222"/>
          <w:sz w:val="24"/>
          <w:szCs w:val="24"/>
          <w:shd w:val="clear" w:color="auto" w:fill="FFFFFF"/>
        </w:rPr>
      </w:pPr>
      <w:r w:rsidRPr="00B753E5">
        <w:rPr>
          <w:rFonts w:ascii="Times New Roman" w:hAnsi="Times New Roman" w:cs="Times New Roman"/>
          <w:color w:val="222222"/>
          <w:sz w:val="24"/>
          <w:szCs w:val="24"/>
          <w:shd w:val="clear" w:color="auto" w:fill="FFFFFF"/>
        </w:rPr>
        <w:t>Grootaert, Christiaan, and Ravi Kanbur. "Child labour: an economic perspective." </w:t>
      </w:r>
      <w:r w:rsidRPr="00B753E5">
        <w:rPr>
          <w:rFonts w:ascii="Times New Roman" w:hAnsi="Times New Roman" w:cs="Times New Roman"/>
          <w:i/>
          <w:iCs/>
          <w:color w:val="222222"/>
          <w:sz w:val="24"/>
          <w:szCs w:val="24"/>
          <w:shd w:val="clear" w:color="auto" w:fill="FFFFFF"/>
        </w:rPr>
        <w:t>Int'l Lab. Rev.</w:t>
      </w:r>
      <w:r w:rsidR="004A54D2" w:rsidRPr="00B753E5">
        <w:rPr>
          <w:rFonts w:ascii="Times New Roman" w:hAnsi="Times New Roman" w:cs="Times New Roman"/>
          <w:color w:val="222222"/>
          <w:sz w:val="24"/>
          <w:szCs w:val="24"/>
          <w:shd w:val="clear" w:color="auto" w:fill="FFFFFF"/>
        </w:rPr>
        <w:t> 134 (2015</w:t>
      </w:r>
      <w:r w:rsidRPr="00B753E5">
        <w:rPr>
          <w:rFonts w:ascii="Times New Roman" w:hAnsi="Times New Roman" w:cs="Times New Roman"/>
          <w:color w:val="222222"/>
          <w:sz w:val="24"/>
          <w:szCs w:val="24"/>
          <w:shd w:val="clear" w:color="auto" w:fill="FFFFFF"/>
        </w:rPr>
        <w:t>): 187.</w:t>
      </w:r>
    </w:p>
    <w:p w:rsidR="00B753E5" w:rsidRPr="00B753E5" w:rsidRDefault="00B753E5" w:rsidP="00B753E5">
      <w:pPr>
        <w:spacing w:line="480" w:lineRule="auto"/>
        <w:ind w:left="720" w:hanging="720"/>
        <w:rPr>
          <w:rFonts w:ascii="Times New Roman" w:hAnsi="Times New Roman" w:cs="Times New Roman"/>
          <w:sz w:val="24"/>
          <w:szCs w:val="24"/>
        </w:rPr>
      </w:pPr>
      <w:r w:rsidRPr="00B753E5">
        <w:rPr>
          <w:rFonts w:ascii="Times New Roman" w:hAnsi="Times New Roman" w:cs="Times New Roman"/>
          <w:color w:val="222222"/>
          <w:sz w:val="24"/>
          <w:szCs w:val="24"/>
          <w:shd w:val="clear" w:color="auto" w:fill="FFFFFF"/>
        </w:rPr>
        <w:t>Ravallion, Martin, and Quentin Wodon. "Does child labour displace schooling? Evidence on behavioural responses to an enrollment subsidy." </w:t>
      </w:r>
      <w:r w:rsidRPr="00B753E5">
        <w:rPr>
          <w:rFonts w:ascii="Times New Roman" w:hAnsi="Times New Roman" w:cs="Times New Roman"/>
          <w:i/>
          <w:iCs/>
          <w:color w:val="222222"/>
          <w:sz w:val="24"/>
          <w:szCs w:val="24"/>
          <w:shd w:val="clear" w:color="auto" w:fill="FFFFFF"/>
        </w:rPr>
        <w:t>The Economic Journal</w:t>
      </w:r>
      <w:r w:rsidRPr="00B753E5">
        <w:rPr>
          <w:rFonts w:ascii="Times New Roman" w:hAnsi="Times New Roman" w:cs="Times New Roman"/>
          <w:color w:val="222222"/>
          <w:sz w:val="24"/>
          <w:szCs w:val="24"/>
          <w:shd w:val="clear" w:color="auto" w:fill="FFFFFF"/>
        </w:rPr>
        <w:t> 110.462 (2013): 158-175.</w:t>
      </w:r>
    </w:p>
    <w:sectPr w:rsidR="00B753E5" w:rsidRPr="00B753E5" w:rsidSect="00B3048B">
      <w:head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F3581" w:rsidRDefault="00BF3581" w:rsidP="00C57CB3">
      <w:pPr>
        <w:spacing w:after="0" w:line="240" w:lineRule="auto"/>
      </w:pPr>
      <w:r>
        <w:separator/>
      </w:r>
    </w:p>
  </w:endnote>
  <w:endnote w:type="continuationSeparator" w:id="1">
    <w:p w:rsidR="00BF3581" w:rsidRDefault="00BF3581" w:rsidP="00C57CB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F3581" w:rsidRDefault="00BF3581" w:rsidP="00C57CB3">
      <w:pPr>
        <w:spacing w:after="0" w:line="240" w:lineRule="auto"/>
      </w:pPr>
      <w:r>
        <w:separator/>
      </w:r>
    </w:p>
  </w:footnote>
  <w:footnote w:type="continuationSeparator" w:id="1">
    <w:p w:rsidR="00BF3581" w:rsidRDefault="00BF3581" w:rsidP="00C57CB3">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7CB3" w:rsidRPr="00C57CB3" w:rsidRDefault="00C57CB3" w:rsidP="00C57CB3">
    <w:pPr>
      <w:pStyle w:val="Header"/>
      <w:spacing w:line="480" w:lineRule="auto"/>
      <w:rPr>
        <w:rFonts w:ascii="Times New Roman" w:hAnsi="Times New Roman" w:cs="Times New Roman"/>
        <w:sz w:val="24"/>
        <w:szCs w:val="24"/>
      </w:rPr>
    </w:pPr>
    <w:r>
      <w:t xml:space="preserve">                                                                                                                                                                      </w:t>
    </w:r>
    <w:r w:rsidRPr="00C57CB3">
      <w:rPr>
        <w:rFonts w:ascii="Times New Roman" w:hAnsi="Times New Roman" w:cs="Times New Roman"/>
        <w:sz w:val="24"/>
        <w:szCs w:val="24"/>
      </w:rPr>
      <w:t xml:space="preserve">Surname </w:t>
    </w:r>
    <w:r w:rsidRPr="00C57CB3">
      <w:rPr>
        <w:rFonts w:ascii="Times New Roman" w:hAnsi="Times New Roman" w:cs="Times New Roman"/>
        <w:sz w:val="24"/>
        <w:szCs w:val="24"/>
      </w:rPr>
      <w:fldChar w:fldCharType="begin"/>
    </w:r>
    <w:r w:rsidRPr="00C57CB3">
      <w:rPr>
        <w:rFonts w:ascii="Times New Roman" w:hAnsi="Times New Roman" w:cs="Times New Roman"/>
        <w:sz w:val="24"/>
        <w:szCs w:val="24"/>
      </w:rPr>
      <w:instrText xml:space="preserve"> PAGE   \* MERGEFORMAT </w:instrText>
    </w:r>
    <w:r w:rsidRPr="00C57CB3">
      <w:rPr>
        <w:rFonts w:ascii="Times New Roman" w:hAnsi="Times New Roman" w:cs="Times New Roman"/>
        <w:sz w:val="24"/>
        <w:szCs w:val="24"/>
      </w:rPr>
      <w:fldChar w:fldCharType="separate"/>
    </w:r>
    <w:r w:rsidR="00B753E5">
      <w:rPr>
        <w:rFonts w:ascii="Times New Roman" w:hAnsi="Times New Roman" w:cs="Times New Roman"/>
        <w:noProof/>
        <w:sz w:val="24"/>
        <w:szCs w:val="24"/>
      </w:rPr>
      <w:t>1</w:t>
    </w:r>
    <w:r w:rsidRPr="00C57CB3">
      <w:rPr>
        <w:rFonts w:ascii="Times New Roman" w:hAnsi="Times New Roman" w:cs="Times New Roman"/>
        <w:sz w:val="24"/>
        <w:szCs w:val="24"/>
      </w:rPr>
      <w:fldChar w:fldCharType="end"/>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B87627"/>
    <w:rsid w:val="004A54D2"/>
    <w:rsid w:val="004B2536"/>
    <w:rsid w:val="004C2054"/>
    <w:rsid w:val="005913B1"/>
    <w:rsid w:val="00597334"/>
    <w:rsid w:val="008117B8"/>
    <w:rsid w:val="00AB2BAD"/>
    <w:rsid w:val="00B3048B"/>
    <w:rsid w:val="00B753E5"/>
    <w:rsid w:val="00B87627"/>
    <w:rsid w:val="00BF3581"/>
    <w:rsid w:val="00C57CB3"/>
    <w:rsid w:val="00F3022C"/>
    <w:rsid w:val="00FA0DC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3048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57CB3"/>
    <w:pPr>
      <w:tabs>
        <w:tab w:val="center" w:pos="4680"/>
        <w:tab w:val="right" w:pos="9360"/>
      </w:tabs>
      <w:spacing w:after="0" w:line="240" w:lineRule="auto"/>
    </w:pPr>
  </w:style>
  <w:style w:type="character" w:customStyle="1" w:styleId="HeaderChar">
    <w:name w:val="Header Char"/>
    <w:basedOn w:val="DefaultParagraphFont"/>
    <w:link w:val="Header"/>
    <w:uiPriority w:val="99"/>
    <w:rsid w:val="00C57CB3"/>
  </w:style>
  <w:style w:type="paragraph" w:styleId="Footer">
    <w:name w:val="footer"/>
    <w:basedOn w:val="Normal"/>
    <w:link w:val="FooterChar"/>
    <w:uiPriority w:val="99"/>
    <w:semiHidden/>
    <w:unhideWhenUsed/>
    <w:rsid w:val="00C57CB3"/>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C57CB3"/>
  </w:style>
  <w:style w:type="paragraph" w:styleId="BalloonText">
    <w:name w:val="Balloon Text"/>
    <w:basedOn w:val="Normal"/>
    <w:link w:val="BalloonTextChar"/>
    <w:uiPriority w:val="99"/>
    <w:semiHidden/>
    <w:unhideWhenUsed/>
    <w:rsid w:val="00C57CB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57CB3"/>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122</TotalTime>
  <Pages>6</Pages>
  <Words>1352</Words>
  <Characters>7711</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dc:creator>
  <cp:lastModifiedBy>ADM</cp:lastModifiedBy>
  <cp:revision>2</cp:revision>
  <dcterms:created xsi:type="dcterms:W3CDTF">2017-11-09T14:04:00Z</dcterms:created>
  <dcterms:modified xsi:type="dcterms:W3CDTF">2017-11-09T16:21:00Z</dcterms:modified>
</cp:coreProperties>
</file>